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E3" w:rsidRPr="00A11DBD" w:rsidRDefault="00462EE3" w:rsidP="00465A95">
      <w:pPr>
        <w:pStyle w:val="BodyText"/>
        <w:rPr>
          <w:sz w:val="22"/>
          <w:szCs w:val="22"/>
        </w:rPr>
      </w:pPr>
      <w:bookmarkStart w:id="0" w:name="_GoBack"/>
      <w:bookmarkEnd w:id="0"/>
      <w:r w:rsidRPr="00A11DBD">
        <w:rPr>
          <w:sz w:val="22"/>
          <w:szCs w:val="22"/>
        </w:rPr>
        <w:t>Importi a bando e termini di scadenza di presentazione per domande individuali e progetti integrati</w:t>
      </w:r>
    </w:p>
    <w:p w:rsidR="00462EE3" w:rsidRDefault="00462EE3" w:rsidP="00465A95">
      <w:pPr>
        <w:jc w:val="both"/>
        <w:rPr>
          <w:sz w:val="22"/>
          <w:szCs w:val="22"/>
        </w:rPr>
      </w:pPr>
    </w:p>
    <w:p w:rsidR="00462EE3" w:rsidRDefault="00462EE3" w:rsidP="00465A95">
      <w:pPr>
        <w:jc w:val="both"/>
        <w:rPr>
          <w:sz w:val="22"/>
          <w:szCs w:val="22"/>
        </w:rPr>
      </w:pPr>
      <w:r w:rsidRPr="00A1434F">
        <w:rPr>
          <w:sz w:val="22"/>
          <w:szCs w:val="22"/>
        </w:rPr>
        <w:t xml:space="preserve">Qualora </w:t>
      </w:r>
      <w:r>
        <w:rPr>
          <w:sz w:val="22"/>
          <w:szCs w:val="22"/>
        </w:rPr>
        <w:t>l’importo</w:t>
      </w:r>
      <w:r w:rsidRPr="00A1434F">
        <w:rPr>
          <w:sz w:val="22"/>
          <w:szCs w:val="22"/>
        </w:rPr>
        <w:t xml:space="preserve"> </w:t>
      </w:r>
      <w:r>
        <w:rPr>
          <w:sz w:val="22"/>
          <w:szCs w:val="22"/>
        </w:rPr>
        <w:t>indicato nel singolo b</w:t>
      </w:r>
      <w:r w:rsidRPr="00A1434F">
        <w:rPr>
          <w:sz w:val="22"/>
          <w:szCs w:val="22"/>
        </w:rPr>
        <w:t>ando risultasse</w:t>
      </w:r>
      <w:r>
        <w:rPr>
          <w:sz w:val="22"/>
          <w:szCs w:val="22"/>
        </w:rPr>
        <w:t xml:space="preserve"> non sufficiente</w:t>
      </w:r>
      <w:r w:rsidRPr="00A1434F">
        <w:rPr>
          <w:sz w:val="22"/>
          <w:szCs w:val="22"/>
        </w:rPr>
        <w:t xml:space="preserve"> al finanziamento delle domande di </w:t>
      </w:r>
      <w:r>
        <w:rPr>
          <w:sz w:val="22"/>
          <w:szCs w:val="22"/>
        </w:rPr>
        <w:t>contributo</w:t>
      </w:r>
      <w:r w:rsidRPr="00A1434F">
        <w:rPr>
          <w:sz w:val="22"/>
          <w:szCs w:val="22"/>
        </w:rPr>
        <w:t>, la copertura finanziaria potrà risultare dall’impiego della disponibilità complessiva de</w:t>
      </w:r>
      <w:r>
        <w:rPr>
          <w:sz w:val="22"/>
          <w:szCs w:val="22"/>
        </w:rPr>
        <w:t>gli eventuali residui disponibili dagli altri bandi.</w:t>
      </w:r>
    </w:p>
    <w:p w:rsidR="00462EE3" w:rsidRDefault="00462EE3" w:rsidP="00465A95">
      <w:pPr>
        <w:jc w:val="both"/>
        <w:rPr>
          <w:sz w:val="22"/>
          <w:szCs w:val="22"/>
        </w:rPr>
      </w:pPr>
    </w:p>
    <w:p w:rsidR="00462EE3" w:rsidRDefault="00462EE3" w:rsidP="00465A95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827"/>
        <w:gridCol w:w="2127"/>
        <w:gridCol w:w="2409"/>
      </w:tblGrid>
      <w:tr w:rsidR="00462EE3" w:rsidRPr="001E272F" w:rsidTr="00F30BCD">
        <w:tc>
          <w:tcPr>
            <w:tcW w:w="1384" w:type="dxa"/>
            <w:vAlign w:val="bottom"/>
          </w:tcPr>
          <w:p w:rsidR="00462EE3" w:rsidRPr="00F30BCD" w:rsidRDefault="00462EE3" w:rsidP="00F30BCD">
            <w:pPr>
              <w:jc w:val="center"/>
              <w:rPr>
                <w:rFonts w:eastAsia="Arial Unicode MS"/>
                <w:b/>
                <w:bCs/>
              </w:rPr>
            </w:pPr>
            <w:r w:rsidRPr="00F30BCD">
              <w:rPr>
                <w:b/>
                <w:bCs/>
                <w:sz w:val="22"/>
                <w:szCs w:val="22"/>
              </w:rPr>
              <w:t>Codice misura / azione</w:t>
            </w:r>
          </w:p>
        </w:tc>
        <w:tc>
          <w:tcPr>
            <w:tcW w:w="3827" w:type="dxa"/>
            <w:vAlign w:val="center"/>
          </w:tcPr>
          <w:p w:rsidR="00462EE3" w:rsidRPr="00F30BCD" w:rsidRDefault="00462EE3" w:rsidP="00F30BCD">
            <w:pPr>
              <w:jc w:val="center"/>
              <w:rPr>
                <w:rFonts w:eastAsia="Arial Unicode MS"/>
                <w:b/>
                <w:bCs/>
              </w:rPr>
            </w:pPr>
            <w:r w:rsidRPr="00F30BCD">
              <w:rPr>
                <w:b/>
                <w:bCs/>
                <w:sz w:val="22"/>
                <w:szCs w:val="22"/>
              </w:rPr>
              <w:t>Denominazione Misure / Azioni</w:t>
            </w:r>
          </w:p>
        </w:tc>
        <w:tc>
          <w:tcPr>
            <w:tcW w:w="2127" w:type="dxa"/>
            <w:vAlign w:val="center"/>
          </w:tcPr>
          <w:p w:rsidR="00462EE3" w:rsidRPr="00F30BCD" w:rsidRDefault="00462EE3" w:rsidP="00F30BCD">
            <w:pPr>
              <w:jc w:val="center"/>
              <w:rPr>
                <w:rFonts w:eastAsia="Arial Unicode MS"/>
                <w:b/>
                <w:bCs/>
              </w:rPr>
            </w:pPr>
            <w:r w:rsidRPr="00F30BCD">
              <w:rPr>
                <w:b/>
                <w:bCs/>
                <w:sz w:val="22"/>
                <w:szCs w:val="22"/>
              </w:rPr>
              <w:t>Importo a bando (Euro)</w:t>
            </w:r>
          </w:p>
        </w:tc>
        <w:tc>
          <w:tcPr>
            <w:tcW w:w="2409" w:type="dxa"/>
            <w:vAlign w:val="center"/>
          </w:tcPr>
          <w:p w:rsidR="00462EE3" w:rsidRPr="00F30BCD" w:rsidRDefault="00462EE3" w:rsidP="00F30BCD">
            <w:pPr>
              <w:jc w:val="center"/>
              <w:rPr>
                <w:rFonts w:eastAsia="Arial Unicode MS"/>
                <w:b/>
                <w:bCs/>
              </w:rPr>
            </w:pPr>
            <w:r w:rsidRPr="00F30BCD">
              <w:rPr>
                <w:b/>
                <w:bCs/>
                <w:sz w:val="22"/>
                <w:szCs w:val="22"/>
              </w:rPr>
              <w:t>Termine ultimo di presentazione domande</w:t>
            </w:r>
          </w:p>
        </w:tc>
      </w:tr>
      <w:tr w:rsidR="00462EE3" w:rsidRPr="001E272F" w:rsidTr="00F30BCD">
        <w:tc>
          <w:tcPr>
            <w:tcW w:w="1384" w:type="dxa"/>
          </w:tcPr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  <w:r w:rsidRPr="00F30BCD">
              <w:rPr>
                <w:sz w:val="22"/>
                <w:szCs w:val="22"/>
              </w:rPr>
              <w:t>112</w:t>
            </w: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  <w:r w:rsidRPr="00F30BCD">
              <w:rPr>
                <w:sz w:val="22"/>
                <w:szCs w:val="22"/>
              </w:rPr>
              <w:t>111 az. 3</w:t>
            </w: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  <w:r w:rsidRPr="00F30BCD">
              <w:rPr>
                <w:sz w:val="22"/>
                <w:szCs w:val="22"/>
              </w:rPr>
              <w:t>114 az. 1</w:t>
            </w: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  <w:r w:rsidRPr="00F30BCD">
              <w:rPr>
                <w:sz w:val="22"/>
                <w:szCs w:val="22"/>
              </w:rPr>
              <w:t xml:space="preserve">121 </w:t>
            </w:r>
            <w:r w:rsidRPr="00F30BCD">
              <w:rPr>
                <w:bCs/>
                <w:sz w:val="22"/>
                <w:szCs w:val="22"/>
              </w:rPr>
              <w:t>Azione PGB</w:t>
            </w: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</w:tc>
        <w:tc>
          <w:tcPr>
            <w:tcW w:w="3827" w:type="dxa"/>
          </w:tcPr>
          <w:p w:rsidR="00462EE3" w:rsidRPr="00F30BCD" w:rsidRDefault="00462EE3" w:rsidP="00465A95"/>
          <w:p w:rsidR="00462EE3" w:rsidRPr="00F30BCD" w:rsidRDefault="00462EE3" w:rsidP="00465A95">
            <w:r w:rsidRPr="00F30BCD">
              <w:rPr>
                <w:sz w:val="22"/>
                <w:szCs w:val="22"/>
              </w:rPr>
              <w:t>Pacchetto Giovani PGB;</w:t>
            </w:r>
          </w:p>
          <w:p w:rsidR="00462EE3" w:rsidRPr="00F30BCD" w:rsidRDefault="00462EE3" w:rsidP="00465A95"/>
          <w:p w:rsidR="00462EE3" w:rsidRPr="00F30BCD" w:rsidRDefault="00462EE3" w:rsidP="00465A95"/>
          <w:p w:rsidR="00462EE3" w:rsidRPr="00F30BCD" w:rsidRDefault="00462EE3" w:rsidP="00465A95">
            <w:r w:rsidRPr="00F30BCD">
              <w:rPr>
                <w:sz w:val="22"/>
                <w:szCs w:val="22"/>
              </w:rPr>
              <w:t>Interventi di formazione individuale in azienda</w:t>
            </w:r>
          </w:p>
          <w:p w:rsidR="00462EE3" w:rsidRPr="00F30BCD" w:rsidRDefault="00462EE3" w:rsidP="00465A95"/>
          <w:p w:rsidR="00462EE3" w:rsidRPr="00F30BCD" w:rsidRDefault="00462EE3" w:rsidP="00465A95">
            <w:r w:rsidRPr="00F30BCD">
              <w:rPr>
                <w:sz w:val="22"/>
                <w:szCs w:val="22"/>
              </w:rPr>
              <w:t>Servizi di consulenza agricola rivolti agli imprenditori agricoli</w:t>
            </w:r>
          </w:p>
          <w:p w:rsidR="00462EE3" w:rsidRPr="00F30BCD" w:rsidRDefault="00462EE3" w:rsidP="00465A95"/>
          <w:p w:rsidR="00462EE3" w:rsidRPr="00F30BCD" w:rsidRDefault="00462EE3" w:rsidP="00465A95">
            <w:r w:rsidRPr="00F30BCD">
              <w:rPr>
                <w:bCs/>
                <w:sz w:val="22"/>
                <w:szCs w:val="22"/>
              </w:rPr>
              <w:t>Ammodernamento delle aziende agricole.</w:t>
            </w:r>
          </w:p>
        </w:tc>
        <w:tc>
          <w:tcPr>
            <w:tcW w:w="2127" w:type="dxa"/>
          </w:tcPr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totale</w:t>
            </w: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30.000.000,00</w:t>
            </w:r>
          </w:p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di cui montagna</w:t>
            </w: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7.500.000,00</w:t>
            </w:r>
          </w:p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di cui altre zone</w:t>
            </w: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22.500.000,00</w:t>
            </w:r>
          </w:p>
        </w:tc>
        <w:tc>
          <w:tcPr>
            <w:tcW w:w="2409" w:type="dxa"/>
          </w:tcPr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  <w:r w:rsidRPr="00F30BCD">
              <w:rPr>
                <w:sz w:val="22"/>
                <w:szCs w:val="22"/>
              </w:rPr>
              <w:t>30 giugno 2014</w:t>
            </w:r>
          </w:p>
        </w:tc>
      </w:tr>
      <w:tr w:rsidR="00462EE3" w:rsidRPr="001E272F" w:rsidTr="00F30BCD">
        <w:tc>
          <w:tcPr>
            <w:tcW w:w="1384" w:type="dxa"/>
          </w:tcPr>
          <w:p w:rsidR="00462EE3" w:rsidRPr="00F30BCD" w:rsidRDefault="00462EE3" w:rsidP="002D3F99"/>
          <w:p w:rsidR="00462EE3" w:rsidRPr="00F30BCD" w:rsidRDefault="00462EE3" w:rsidP="002D3F99"/>
          <w:p w:rsidR="00462EE3" w:rsidRPr="00F30BCD" w:rsidRDefault="00462EE3" w:rsidP="002D3F99"/>
          <w:p w:rsidR="00462EE3" w:rsidRPr="00F30BCD" w:rsidRDefault="00462EE3" w:rsidP="002D3F99"/>
          <w:p w:rsidR="00462EE3" w:rsidRPr="00F30BCD" w:rsidRDefault="00462EE3" w:rsidP="00F30BCD">
            <w:pPr>
              <w:jc w:val="center"/>
            </w:pPr>
            <w:r w:rsidRPr="00F30BCD">
              <w:rPr>
                <w:sz w:val="22"/>
                <w:szCs w:val="22"/>
              </w:rPr>
              <w:t>121</w:t>
            </w:r>
          </w:p>
        </w:tc>
        <w:tc>
          <w:tcPr>
            <w:tcW w:w="3827" w:type="dxa"/>
          </w:tcPr>
          <w:p w:rsidR="00462EE3" w:rsidRPr="00F30BCD" w:rsidRDefault="00462EE3" w:rsidP="00EA6F76">
            <w:pPr>
              <w:rPr>
                <w:bCs/>
              </w:rPr>
            </w:pPr>
          </w:p>
          <w:p w:rsidR="00462EE3" w:rsidRPr="00F30BCD" w:rsidRDefault="00462EE3" w:rsidP="00EA6F76">
            <w:pPr>
              <w:rPr>
                <w:bCs/>
              </w:rPr>
            </w:pPr>
          </w:p>
          <w:p w:rsidR="00462EE3" w:rsidRPr="00F30BCD" w:rsidRDefault="00462EE3" w:rsidP="00EA6F76">
            <w:pPr>
              <w:rPr>
                <w:bCs/>
              </w:rPr>
            </w:pPr>
          </w:p>
          <w:p w:rsidR="00462EE3" w:rsidRPr="00F30BCD" w:rsidRDefault="00462EE3" w:rsidP="00EA6F76">
            <w:pPr>
              <w:rPr>
                <w:bCs/>
              </w:rPr>
            </w:pPr>
          </w:p>
          <w:p w:rsidR="00462EE3" w:rsidRPr="00F30BCD" w:rsidRDefault="00462EE3" w:rsidP="00EA6F76">
            <w:r w:rsidRPr="00F30BCD">
              <w:rPr>
                <w:bCs/>
                <w:sz w:val="22"/>
                <w:szCs w:val="22"/>
              </w:rPr>
              <w:t>Ammodernamento delle aziende agricole</w:t>
            </w:r>
          </w:p>
        </w:tc>
        <w:tc>
          <w:tcPr>
            <w:tcW w:w="2127" w:type="dxa"/>
          </w:tcPr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totale</w:t>
            </w: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30.000.000,00</w:t>
            </w:r>
          </w:p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di cui montagna</w:t>
            </w: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7.500.000,00</w:t>
            </w:r>
          </w:p>
          <w:p w:rsidR="00462EE3" w:rsidRPr="00F30BCD" w:rsidRDefault="00462EE3" w:rsidP="00F30BCD">
            <w:pPr>
              <w:jc w:val="right"/>
            </w:pP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di cui altre zone</w:t>
            </w:r>
          </w:p>
          <w:p w:rsidR="00462EE3" w:rsidRPr="00F30BCD" w:rsidRDefault="00462EE3" w:rsidP="00F30BCD">
            <w:pPr>
              <w:jc w:val="right"/>
            </w:pPr>
            <w:r w:rsidRPr="00F30BCD">
              <w:rPr>
                <w:sz w:val="22"/>
                <w:szCs w:val="22"/>
              </w:rPr>
              <w:t>22.500.000,00</w:t>
            </w:r>
          </w:p>
          <w:p w:rsidR="00462EE3" w:rsidRPr="00F30BCD" w:rsidRDefault="00462EE3" w:rsidP="00F30BCD">
            <w:pPr>
              <w:jc w:val="right"/>
            </w:pPr>
          </w:p>
        </w:tc>
        <w:tc>
          <w:tcPr>
            <w:tcW w:w="2409" w:type="dxa"/>
          </w:tcPr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</w:p>
          <w:p w:rsidR="00462EE3" w:rsidRPr="00F30BCD" w:rsidRDefault="00462EE3" w:rsidP="00F30BCD">
            <w:pPr>
              <w:jc w:val="center"/>
            </w:pPr>
            <w:r w:rsidRPr="00F30BCD">
              <w:rPr>
                <w:sz w:val="22"/>
                <w:szCs w:val="22"/>
              </w:rPr>
              <w:t>30 giugno 2014</w:t>
            </w:r>
          </w:p>
        </w:tc>
      </w:tr>
      <w:tr w:rsidR="00462EE3" w:rsidRPr="00A464CD" w:rsidTr="00F30BCD">
        <w:tc>
          <w:tcPr>
            <w:tcW w:w="1384" w:type="dxa"/>
          </w:tcPr>
          <w:p w:rsidR="00462EE3" w:rsidRPr="00F30BCD" w:rsidRDefault="00462EE3" w:rsidP="002D3F9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EE3" w:rsidRPr="00F30BCD" w:rsidRDefault="00462EE3" w:rsidP="00EA6F76">
            <w:pPr>
              <w:rPr>
                <w:b/>
                <w:bCs/>
                <w:sz w:val="28"/>
                <w:szCs w:val="28"/>
              </w:rPr>
            </w:pPr>
            <w:r w:rsidRPr="00F30BCD">
              <w:rPr>
                <w:b/>
                <w:bCs/>
                <w:sz w:val="28"/>
                <w:szCs w:val="28"/>
              </w:rPr>
              <w:t>Totale importi a bando</w:t>
            </w:r>
          </w:p>
        </w:tc>
        <w:tc>
          <w:tcPr>
            <w:tcW w:w="2127" w:type="dxa"/>
          </w:tcPr>
          <w:p w:rsidR="00462EE3" w:rsidRPr="00F30BCD" w:rsidRDefault="00462EE3" w:rsidP="00F30BCD">
            <w:pPr>
              <w:jc w:val="right"/>
              <w:rPr>
                <w:b/>
                <w:sz w:val="28"/>
                <w:szCs w:val="28"/>
              </w:rPr>
            </w:pPr>
            <w:r w:rsidRPr="00F30BCD">
              <w:rPr>
                <w:b/>
                <w:sz w:val="28"/>
                <w:szCs w:val="28"/>
              </w:rPr>
              <w:t>60.000.000,00</w:t>
            </w:r>
          </w:p>
        </w:tc>
        <w:tc>
          <w:tcPr>
            <w:tcW w:w="2409" w:type="dxa"/>
          </w:tcPr>
          <w:p w:rsidR="00462EE3" w:rsidRPr="00F30BCD" w:rsidRDefault="00462EE3" w:rsidP="00EA6F76">
            <w:pPr>
              <w:rPr>
                <w:b/>
                <w:sz w:val="28"/>
                <w:szCs w:val="28"/>
              </w:rPr>
            </w:pPr>
          </w:p>
        </w:tc>
      </w:tr>
    </w:tbl>
    <w:p w:rsidR="00462EE3" w:rsidRPr="00465A95" w:rsidRDefault="00462EE3" w:rsidP="00465A95"/>
    <w:sectPr w:rsidR="00462EE3" w:rsidRPr="00465A95" w:rsidSect="00C10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E3" w:rsidRDefault="00462EE3" w:rsidP="00C108CF">
      <w:r>
        <w:separator/>
      </w:r>
    </w:p>
  </w:endnote>
  <w:endnote w:type="continuationSeparator" w:id="0">
    <w:p w:rsidR="00462EE3" w:rsidRDefault="00462EE3" w:rsidP="00C1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E3" w:rsidRDefault="00462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E3" w:rsidRDefault="00462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E3" w:rsidRDefault="00462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E3" w:rsidRDefault="00462EE3" w:rsidP="00C108CF">
      <w:r>
        <w:separator/>
      </w:r>
    </w:p>
  </w:footnote>
  <w:footnote w:type="continuationSeparator" w:id="0">
    <w:p w:rsidR="00462EE3" w:rsidRDefault="00462EE3" w:rsidP="00C1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E3" w:rsidRDefault="00462E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/>
    </w:tblPr>
    <w:tblGrid>
      <w:gridCol w:w="8010"/>
      <w:gridCol w:w="1628"/>
    </w:tblGrid>
    <w:tr w:rsidR="00462EE3" w:rsidTr="00AD6ED6">
      <w:trPr>
        <w:trHeight w:hRule="exact" w:val="584"/>
      </w:trPr>
      <w:tc>
        <w:tcPr>
          <w:tcW w:w="8150" w:type="dxa"/>
        </w:tcPr>
        <w:p w:rsidR="00462EE3" w:rsidRDefault="00462EE3" w:rsidP="00C108CF">
          <w:pPr>
            <w:pStyle w:val="Header"/>
            <w:rPr>
              <w:i/>
              <w:iCs/>
            </w:rPr>
          </w:pPr>
          <w:r>
            <w:rPr>
              <w:b/>
              <w:bCs/>
              <w:sz w:val="28"/>
              <w:szCs w:val="28"/>
            </w:rPr>
            <w:t>ALLEGATO _A_ Dgr n</w:t>
          </w:r>
          <w:r>
            <w:rPr>
              <w:sz w:val="28"/>
              <w:szCs w:val="28"/>
            </w:rPr>
            <w:t xml:space="preserve">.                       </w:t>
          </w:r>
          <w:r>
            <w:rPr>
              <w:b/>
              <w:bCs/>
              <w:sz w:val="28"/>
              <w:szCs w:val="28"/>
            </w:rPr>
            <w:t>del</w:t>
          </w:r>
          <w:r>
            <w:rPr>
              <w:sz w:val="28"/>
              <w:szCs w:val="28"/>
            </w:rPr>
            <w:t xml:space="preserve">                          </w:t>
          </w:r>
          <w:r>
            <w:t xml:space="preserve">pag.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1628" w:type="dxa"/>
        </w:tcPr>
        <w:p w:rsidR="00462EE3" w:rsidRDefault="00462EE3" w:rsidP="00AD6ED6">
          <w:pPr>
            <w:pStyle w:val="Header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62EE3" w:rsidRDefault="00462E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/>
    </w:tblPr>
    <w:tblGrid>
      <w:gridCol w:w="7371"/>
      <w:gridCol w:w="2127"/>
    </w:tblGrid>
    <w:tr w:rsidR="00462EE3" w:rsidTr="00AD6ED6">
      <w:trPr>
        <w:trHeight w:hRule="exact" w:val="1293"/>
      </w:trPr>
      <w:tc>
        <w:tcPr>
          <w:tcW w:w="7441" w:type="dxa"/>
        </w:tcPr>
        <w:p w:rsidR="00462EE3" w:rsidRDefault="00462EE3" w:rsidP="00AD6ED6">
          <w:pPr>
            <w:pStyle w:val="Header"/>
            <w:rPr>
              <w:sz w:val="32"/>
              <w:szCs w:val="32"/>
            </w:rPr>
          </w:pPr>
          <w:r w:rsidRPr="00C16CFF">
            <w:rPr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180.75pt;height:22.5pt;visibility:visible">
                <v:imagedata r:id="rId1" o:title=""/>
              </v:shape>
            </w:pict>
          </w:r>
        </w:p>
        <w:p w:rsidR="00462EE3" w:rsidRDefault="00462EE3" w:rsidP="00AD6ED6">
          <w:pPr>
            <w:pStyle w:val="Head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    giunta regionale – 9^ legislatura</w:t>
          </w:r>
        </w:p>
        <w:p w:rsidR="00462EE3" w:rsidRDefault="00462EE3" w:rsidP="00AD6ED6">
          <w:pPr>
            <w:pStyle w:val="Header"/>
            <w:rPr>
              <w:b/>
              <w:bCs/>
              <w:sz w:val="16"/>
              <w:szCs w:val="16"/>
            </w:rPr>
          </w:pPr>
        </w:p>
        <w:p w:rsidR="00462EE3" w:rsidRDefault="00462EE3" w:rsidP="00A30090">
          <w:pPr>
            <w:pStyle w:val="Header"/>
            <w:rPr>
              <w:b/>
              <w:bCs/>
              <w:i/>
              <w:iCs/>
              <w:sz w:val="32"/>
              <w:szCs w:val="32"/>
            </w:rPr>
          </w:pPr>
          <w:r>
            <w:rPr>
              <w:b/>
              <w:bCs/>
              <w:sz w:val="28"/>
              <w:szCs w:val="28"/>
            </w:rPr>
            <w:t>ALLEGATO _A_</w:t>
          </w:r>
          <w:r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28"/>
              <w:szCs w:val="28"/>
            </w:rPr>
            <w:t>Dgr n</w:t>
          </w:r>
          <w:r>
            <w:rPr>
              <w:b/>
              <w:bCs/>
              <w:sz w:val="32"/>
              <w:szCs w:val="32"/>
            </w:rPr>
            <w:t xml:space="preserve">.   573    </w:t>
          </w:r>
          <w:r>
            <w:rPr>
              <w:b/>
              <w:bCs/>
              <w:sz w:val="28"/>
              <w:szCs w:val="28"/>
            </w:rPr>
            <w:t>del</w:t>
          </w:r>
          <w:r>
            <w:rPr>
              <w:b/>
              <w:bCs/>
              <w:sz w:val="32"/>
              <w:szCs w:val="32"/>
            </w:rPr>
            <w:t xml:space="preserve"> 14/04/2014      </w:t>
          </w:r>
          <w:r>
            <w:t xml:space="preserve">pag.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2127" w:type="dxa"/>
        </w:tcPr>
        <w:p w:rsidR="00462EE3" w:rsidRDefault="00462EE3" w:rsidP="00AD6ED6">
          <w:pPr>
            <w:pStyle w:val="Header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62EE3" w:rsidRDefault="00462E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0C"/>
    <w:rsid w:val="00020BAA"/>
    <w:rsid w:val="000671D7"/>
    <w:rsid w:val="00100EE0"/>
    <w:rsid w:val="001065A7"/>
    <w:rsid w:val="001714A0"/>
    <w:rsid w:val="0018162B"/>
    <w:rsid w:val="001C3CD2"/>
    <w:rsid w:val="001E272F"/>
    <w:rsid w:val="002D3F99"/>
    <w:rsid w:val="002F70D3"/>
    <w:rsid w:val="003137D6"/>
    <w:rsid w:val="00343AAB"/>
    <w:rsid w:val="00362D61"/>
    <w:rsid w:val="003642E4"/>
    <w:rsid w:val="003B4AFD"/>
    <w:rsid w:val="003B5709"/>
    <w:rsid w:val="003F5528"/>
    <w:rsid w:val="004364E5"/>
    <w:rsid w:val="00446A0C"/>
    <w:rsid w:val="0045574B"/>
    <w:rsid w:val="00462EE3"/>
    <w:rsid w:val="00465A95"/>
    <w:rsid w:val="004B3EAC"/>
    <w:rsid w:val="004F6B64"/>
    <w:rsid w:val="00501B79"/>
    <w:rsid w:val="005562F2"/>
    <w:rsid w:val="005A2E8D"/>
    <w:rsid w:val="006704DA"/>
    <w:rsid w:val="007648B3"/>
    <w:rsid w:val="007B14F8"/>
    <w:rsid w:val="008265EF"/>
    <w:rsid w:val="009022ED"/>
    <w:rsid w:val="00945E6F"/>
    <w:rsid w:val="00986C03"/>
    <w:rsid w:val="00A11DBD"/>
    <w:rsid w:val="00A1434F"/>
    <w:rsid w:val="00A24C7B"/>
    <w:rsid w:val="00A30090"/>
    <w:rsid w:val="00A464CD"/>
    <w:rsid w:val="00A8768A"/>
    <w:rsid w:val="00AC4508"/>
    <w:rsid w:val="00AD6ED6"/>
    <w:rsid w:val="00C108CF"/>
    <w:rsid w:val="00C16CFF"/>
    <w:rsid w:val="00C53B09"/>
    <w:rsid w:val="00D84057"/>
    <w:rsid w:val="00D8413F"/>
    <w:rsid w:val="00DB2034"/>
    <w:rsid w:val="00DF4F18"/>
    <w:rsid w:val="00E9661D"/>
    <w:rsid w:val="00EA6F76"/>
    <w:rsid w:val="00F30BCD"/>
    <w:rsid w:val="00F6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B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E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A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aliases w:val="Titolo 5 non numerato"/>
    <w:basedOn w:val="Normal"/>
    <w:next w:val="Normal"/>
    <w:link w:val="Heading5Char"/>
    <w:uiPriority w:val="99"/>
    <w:qFormat/>
    <w:rsid w:val="00446A0C"/>
    <w:pPr>
      <w:keepNext/>
      <w:outlineLvl w:val="4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B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2E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A0C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aliases w:val="Titolo 5 non numerato Char"/>
    <w:basedOn w:val="DefaultParagraphFont"/>
    <w:link w:val="Heading5"/>
    <w:uiPriority w:val="99"/>
    <w:locked/>
    <w:rsid w:val="00446A0C"/>
    <w:rPr>
      <w:rFonts w:ascii="Tahoma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0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08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8C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08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8C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08C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022E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2ED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65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65A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5A9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65A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861</Characters>
  <Application>Microsoft Office Outlook</Application>
  <DocSecurity>0</DocSecurity>
  <Lines>0</Lines>
  <Paragraphs>0</Paragraphs>
  <ScaleCrop>false</ScaleCrop>
  <Company>Giunta Regionale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Importi a bando e termini di scadenza di presentazione per domande individuali e progetti integrati</dc:title>
  <dc:subject/>
  <dc:creator>Raffaele Bellio</dc:creator>
  <cp:keywords/>
  <dc:description/>
  <cp:lastModifiedBy>antonsilvio-barbini</cp:lastModifiedBy>
  <cp:revision>3</cp:revision>
  <cp:lastPrinted>2014-03-17T10:00:00Z</cp:lastPrinted>
  <dcterms:created xsi:type="dcterms:W3CDTF">2014-04-16T08:54:00Z</dcterms:created>
  <dcterms:modified xsi:type="dcterms:W3CDTF">2014-04-16T09:15:00Z</dcterms:modified>
</cp:coreProperties>
</file>